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A04B1" w:rsidRDefault="002D70C6" w:rsidP="00053FAB">
      <w:pPr>
        <w:tabs>
          <w:tab w:val="left" w:pos="9765"/>
        </w:tabs>
        <w:jc w:val="center"/>
      </w:pPr>
      <w:r>
        <w:t>SECRETARIA MUNICIPAL DE EDUCAÇÃO DE ESTAÇÃO</w:t>
      </w:r>
    </w:p>
    <w:p w:rsidR="005A04B1" w:rsidRDefault="002D70C6">
      <w:pPr>
        <w:tabs>
          <w:tab w:val="left" w:pos="9765"/>
        </w:tabs>
        <w:jc w:val="center"/>
      </w:pPr>
      <w:r>
        <w:t>Monitoramento do Plano Municipal de Educação - 2015/2026</w:t>
      </w:r>
    </w:p>
    <w:p w:rsidR="005A04B1" w:rsidRPr="00C111C2" w:rsidRDefault="002D70C6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800"/>
        <w:rPr>
          <w:b/>
          <w:bCs/>
          <w:color w:val="000000"/>
          <w:sz w:val="28"/>
          <w:szCs w:val="28"/>
        </w:rPr>
      </w:pPr>
      <w:r w:rsidRPr="00C111C2">
        <w:rPr>
          <w:b/>
          <w:bCs/>
          <w:color w:val="000000"/>
          <w:sz w:val="28"/>
          <w:szCs w:val="28"/>
        </w:rPr>
        <w:t>II - Comissão do Ensino Fundamental</w:t>
      </w: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color w:val="000000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ind w:left="1080"/>
        <w:rPr>
          <w:b/>
          <w:bCs/>
          <w:color w:val="000000"/>
          <w:u w:val="single"/>
        </w:rPr>
      </w:pPr>
    </w:p>
    <w:tbl>
      <w:tblPr>
        <w:tblStyle w:val="a"/>
        <w:tblW w:w="1291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457"/>
        <w:gridCol w:w="6457"/>
      </w:tblGrid>
      <w:tr w:rsidR="005A04B1">
        <w:tc>
          <w:tcPr>
            <w:tcW w:w="12914" w:type="dxa"/>
            <w:gridSpan w:val="2"/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ind w:left="-57" w:right="22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Meta 2. </w:t>
            </w:r>
            <w:r>
              <w:rPr>
                <w:b/>
                <w:bCs/>
                <w:color w:val="000000"/>
                <w:u w:val="single"/>
              </w:rPr>
              <w:t>“Meta 2: Universalizar, em  regime  de  colaboração,  o Ensino Fundamental de 9 (nove) anos para toda a população de 06 (seis) a 14 (quatorze) anos e garantir que pelo menos 95% dos alunos concluam essa etapa na idade recomendada até o último ano de vigência do PNE.”</w:t>
            </w:r>
          </w:p>
        </w:tc>
      </w:tr>
      <w:tr w:rsidR="005A04B1"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Estratégias 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Observações  relevantes sobre o acompanhamento dessa meta.</w:t>
            </w:r>
          </w:p>
        </w:tc>
      </w:tr>
      <w:tr w:rsidR="005A04B1"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b/>
                <w:bCs/>
                <w:color w:val="000000"/>
                <w:u w:val="single"/>
              </w:rPr>
            </w:pP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2.1. Garantir, no âmbito dos  respectivos sistemas de ensino, o Ensino Fundamental de Nove Anos, assegurando que os três primeiros anos sejam organizados segundo a Legislação Federal.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2.2. Criar e assegurar, mecanismos para o acompanhamento individualizado dos alunos do Ensino Fundamental;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2.3. Aperfeiçoar o monitoramento do acesso, da permanência e o aproveitamento dos beneficiários de programas de transferência de renda;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2.4. Desenvolver, progressivamente, programas de acompanhamento, em toda a Rede Pública de Ensino, que possibilitem a melhoria do nível de aprendizagem dos alunos, visando o estabelecimento de condições adequadas para o sucesso escolar dos alunos. 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2.5. Promover e fortalecer a integração entre a Rede de Apoio à Escola, Conselho Tutelar, Centro de Referência de Assistência Social (CRAS), </w:t>
            </w:r>
            <w:r>
              <w:rPr>
                <w:color w:val="000000"/>
              </w:rPr>
              <w:lastRenderedPageBreak/>
              <w:t xml:space="preserve">Secretaria Municipal de Saúde, e Ministério Público para agilizar os encaminhamentos quanto à negligência, orientação familiar e busca ativa de crianças fora da escola. 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2.6. Fomentar a permanente revisitação aos Projetos Político-Pedagógicos das Escolas  de  Ensino Fundamental, bem  como aos  Planos  de  Estudo,  de modo que os mesmos  estabeleçam metas de aprendizagem, em conformidade com a organização do currículo, com observância das Diretrizes Curriculares para o Ensino Fundamental à luz das Diretrizes Nacional e Estadual. 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2.7. Garantir políticas para a identificação e superação de todas as formas de violência física, moral e simbólica na escola, inclusive nos conteúdos e práticas pedagógicas, favorecendo a criação de uma cultura de paz em um ambiente dotado de segurança para a comunidade escolar.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2.8.  Garantir o transporte escolar dos alunos oriundos do meio rural, em regime de colaboração entre União, Estado e município, atendendo aos princípios básicos de segurança exigidos pelo Departamento Estadual de Trânsito (DETRAN) e as normas de acessibilidade que garantam segurança aos alunos com deficiências.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2.9. Participar do programa nacional de reestruturação e aquisição de equipamentos para escolas, bem como produção de material didático e de formação de professores.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2.10. Disponibilizar tecnologias pedagógicas que combinem, de maneira articulada, a organização do tempo e das atividades didáticas entre a escola e o ambiente comunitário, em prol da educação. 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2.11. Dar continuidade ao regime de colaboração entre estado e município na elaboração do calendário escolar.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2.12. Acompanhar, monitorar e socializar com a comunidade educacional o desenvolvimento das ações planejadas e executadas pelo Plano de Ações Articuladas – PAR.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2.13. Criar programa municipal de prática esportiva, priorizando a conservação e a construção de centros esportivos, em pontos estratégicos da cidade, para o desenvolvimento de habilidades, visando estimular as potencialidades físicas nas diferentes modalidades esportivas.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 xml:space="preserve">2.14. Universalizar o acesso à rede mundial de computadores em banda larga de alta velocidade e aumentar a relação computadores/estudantes nas escolas da rede pública de educação básica, garantindo equipamentos em quantidade compatível com o número de estudantes, promovendo a utilização pedagógica das tecnologias da informação e da comunicação, promovendo ainda a capacitação dos professores e do acompanhamento dos profissionais da área. </w:t>
            </w:r>
          </w:p>
          <w:p w:rsidR="005A04B1" w:rsidRPr="00C111C2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  <w:highlight w:val="green"/>
              </w:rPr>
            </w:pPr>
            <w:r>
              <w:rPr>
                <w:color w:val="000000"/>
              </w:rPr>
              <w:t>2.15</w:t>
            </w:r>
            <w:r w:rsidRPr="00C111C2">
              <w:rPr>
                <w:color w:val="000000"/>
                <w:highlight w:val="green"/>
              </w:rPr>
              <w:t xml:space="preserve">. Garantir acessibilidade à pessoa com deficiência física, bem como disponibilizar profissionais capacitados nas áreas específicas para estudantes com deficiência, transtornos globais do desenvolvimento e altas habilidades/superdotação, com material didático necessário. 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2.16.  Institucionalizar e manter, em regime de colaboração com a União e Estado, programa nacional de ampliação e reestruturação das escolas públicas, por meio da instalação de quadras poliesportivas (cobertas), laboratórios, bibliotecas, auditórios, cozinhas, refeitórios, banheiros e outros equipamentos, bem como de produção de material didático e de formação de professores.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2.17. Elevar os níveis de aprendizagem, por meio da efetivação das diferentes estratégias previstas nas propostas pedagógicas e regimentos escolares, associadas à aprendizagem dos educandos e ao estabelecimento de metodologias de ensino, que considerem as especificidades dos educandos, com a destinação de recursos humanos e materiais pelas respectivas mantenedoras.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2.18. Promover, em regime de colaboração, programas de qualificação permanente para os profissionais que atuam no Ensino Fundamental.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2.19. Incentivar a relação das escolas com instituições e movimentos culturais, a fim de assegurar que as mesmas se tornem polos de criação e difusão cultural.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Promover cursos de formação para os professores fazerem uso adequado dos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Chromebooks.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Garantir a acessibilidade, organizar a escola para receber as crianças com necessidades especiais.</w:t>
            </w: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ind w:left="1080"/>
        <w:rPr>
          <w:color w:val="000000"/>
        </w:rPr>
      </w:pPr>
    </w:p>
    <w:tbl>
      <w:tblPr>
        <w:tblStyle w:val="a0"/>
        <w:tblpPr w:leftFromText="141" w:rightFromText="141" w:vertAnchor="text" w:tblpXSpec="right" w:tblpY="775"/>
        <w:tblW w:w="13018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6509"/>
        <w:gridCol w:w="6509"/>
      </w:tblGrid>
      <w:tr w:rsidR="005A04B1" w:rsidTr="00894AE3">
        <w:trPr>
          <w:trHeight w:val="268"/>
          <w:jc w:val="right"/>
        </w:trPr>
        <w:tc>
          <w:tcPr>
            <w:tcW w:w="13018" w:type="dxa"/>
            <w:gridSpan w:val="2"/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ind w:left="113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Meta 5</w:t>
            </w:r>
            <w:r>
              <w:rPr>
                <w:b/>
                <w:bCs/>
                <w:color w:val="000000"/>
                <w:u w:val="single"/>
              </w:rPr>
              <w:t>: Alfabetizar, no âmbito dos respectivos sistemas de ensino, todas as crianças, no máximo,  até o final do 3º ano do Ensino Fundamental.</w:t>
            </w:r>
          </w:p>
        </w:tc>
      </w:tr>
      <w:tr w:rsidR="005A04B1" w:rsidTr="00894AE3">
        <w:trPr>
          <w:trHeight w:val="268"/>
          <w:jc w:val="right"/>
        </w:trPr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tabs>
                <w:tab w:val="left" w:pos="9765"/>
              </w:tabs>
              <w:spacing w:after="0" w:line="240" w:lineRule="auto"/>
              <w:jc w:val="center"/>
            </w:pPr>
            <w:r>
              <w:rPr>
                <w:b/>
                <w:bCs/>
              </w:rPr>
              <w:t xml:space="preserve">Estratégias 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tabs>
                <w:tab w:val="left" w:pos="9765"/>
              </w:tabs>
              <w:spacing w:after="0" w:line="240" w:lineRule="auto"/>
              <w:jc w:val="center"/>
            </w:pPr>
            <w:r>
              <w:rPr>
                <w:b/>
                <w:bCs/>
              </w:rPr>
              <w:t>Observações  relevantes sobre o acompanhamento dessa meta.</w:t>
            </w:r>
          </w:p>
        </w:tc>
      </w:tr>
      <w:tr w:rsidR="005A04B1" w:rsidTr="00894AE3">
        <w:trPr>
          <w:trHeight w:val="252"/>
          <w:jc w:val="right"/>
        </w:trPr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Pr="00C111C2" w:rsidRDefault="002D70C6">
            <w:pPr>
              <w:spacing w:after="0" w:line="360" w:lineRule="auto"/>
              <w:ind w:firstLine="708"/>
              <w:jc w:val="both"/>
              <w:rPr>
                <w:rFonts w:ascii="Cambria" w:eastAsia="Cambria" w:hAnsi="Cambria" w:cs="Cambria"/>
                <w:sz w:val="23"/>
                <w:szCs w:val="23"/>
                <w:highlight w:val="green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 5.1. </w:t>
            </w:r>
            <w:r w:rsidRPr="00C111C2">
              <w:rPr>
                <w:rFonts w:ascii="Cambria" w:eastAsia="Cambria" w:hAnsi="Cambria" w:cs="Cambria"/>
                <w:sz w:val="23"/>
                <w:szCs w:val="23"/>
                <w:highlight w:val="green"/>
              </w:rPr>
              <w:t>Consolidar  o ensino fundamental de nove anos com foco na organização de ciclo de alfabetização com duração de três anos, a fim de garantir a alfabetização plena de todas as crianças, no máximo, até o final do terceiro ano.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lastRenderedPageBreak/>
              <w:t>5.2. Estruturar, no âmbito das respectivas redes de ensino, o ciclo de alfabetização de forma articulada com estratégias desenvolvidas na pré-escola obrigatória, com qualificação e valorização dos professores alfabetizadores e com apoio pedagógico específico, a fim de garantir a alfabetização de todas as crianças na idade determinada nos documentos legais;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5.3. Ampliar, com apoio das mantenedoras, programas de alfabetização, apoio pedagógico, equipe multidisciplinar e horário da coordenação pedagógica nas escolas, a fim de garantir a alfabetização de estudantes, no máximo até o final do terceiro ano.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5.4. Fomentar o desenvolvimento de tecnologias educacionais e de inovação das práticas pedagógicas nos sistemas de ensino, que assegurem a alfabetização e favoreçam a melhoria do fluxo escolar e a aprendizagem dos estudantes, considerando as diversas abordagens metodológicas e sua efetividade, por meio do suprimento de recursos tecnológicos e humanos com formação específica para as atividades das novas </w:t>
            </w:r>
            <w:r>
              <w:rPr>
                <w:rFonts w:ascii="Cambria" w:eastAsia="Cambria" w:hAnsi="Cambria" w:cs="Cambria"/>
                <w:sz w:val="23"/>
                <w:szCs w:val="23"/>
              </w:rPr>
              <w:lastRenderedPageBreak/>
              <w:t xml:space="preserve">tecnologias, bem como com proporcionalidade do número de estudantes e computadores disponíveis por turma.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5.5. Fomentar as tecnologias educacionais inovadoras das práticas pedagógicas que assegurem a alfabetização, a partir de realidades linguísticas diferenciadas em comunidades bilíngues ou multilíngues, favorecendo a melhoria do fluxo escolar e a aprendizagem dos alunos, segundo as diversas abordagens metodológicas.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rFonts w:ascii="Cambria" w:eastAsia="Cambria" w:hAnsi="Cambria" w:cs="Cambria"/>
                <w:sz w:val="23"/>
                <w:szCs w:val="23"/>
                <w:highlight w:val="green"/>
              </w:rPr>
            </w:pPr>
            <w:r>
              <w:rPr>
                <w:rFonts w:ascii="Cambria" w:eastAsia="Cambria" w:hAnsi="Cambria" w:cs="Cambria"/>
                <w:sz w:val="23"/>
                <w:szCs w:val="23"/>
                <w:highlight w:val="green"/>
              </w:rPr>
              <w:t xml:space="preserve">5.6. Oferecer, com apoio das mantenedoras, aos estudantes de 1º a 3º ano em turno contrário, ações com foco na alfabetização, com profissionais da educação.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5.7. Manter em funcionamento programas de formação continuada de alfabetização, com o apoio das mantenedoras.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rPr>
                <w:rFonts w:ascii="Cambria" w:eastAsia="Cambria" w:hAnsi="Cambria" w:cs="Cambria"/>
                <w:sz w:val="23"/>
                <w:szCs w:val="23"/>
              </w:rPr>
              <w:t>5.8. Estabelecer, na  Rede Municipal de Ensino, até o  final  da vigência  deste Plano Municipal de Educação,  o número máximo de alunos por sala de aula nos três primeiros anos do ensino fundamental, para que haja um atendimento individualizado, efetivo e coerente com a meta estabelecida,</w:t>
            </w:r>
            <w:r>
              <w:rPr>
                <w:rFonts w:ascii="Cambria" w:eastAsia="Cambria" w:hAnsi="Cambria" w:cs="Cambria"/>
                <w:sz w:val="23"/>
                <w:szCs w:val="23"/>
                <w:highlight w:val="green"/>
              </w:rPr>
              <w:t xml:space="preserve"> </w:t>
            </w:r>
            <w:r>
              <w:rPr>
                <w:rFonts w:ascii="Cambria" w:eastAsia="Cambria" w:hAnsi="Cambria" w:cs="Cambria"/>
                <w:sz w:val="23"/>
                <w:szCs w:val="23"/>
                <w:highlight w:val="green"/>
              </w:rPr>
              <w:lastRenderedPageBreak/>
              <w:t>sendo o número máximo de 20 estudantes por turma no ciclo de alfabetização</w:t>
            </w:r>
            <w:r>
              <w:rPr>
                <w:rFonts w:ascii="Cambria" w:eastAsia="Cambria" w:hAnsi="Cambria" w:cs="Cambria"/>
                <w:sz w:val="23"/>
                <w:szCs w:val="23"/>
              </w:rPr>
              <w:t xml:space="preserve">. 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tabs>
                <w:tab w:val="left" w:pos="9765"/>
              </w:tabs>
              <w:spacing w:after="0" w:line="240" w:lineRule="auto"/>
              <w:jc w:val="center"/>
            </w:pPr>
            <w:r>
              <w:lastRenderedPageBreak/>
              <w:t>Quando o número de estudantes for superior a 20, possibilitar a ajuda de uma auxiliar para colaborar com a professora regente.</w:t>
            </w:r>
          </w:p>
          <w:p w:rsidR="005A04B1" w:rsidRDefault="005A04B1">
            <w:pPr>
              <w:tabs>
                <w:tab w:val="left" w:pos="9765"/>
              </w:tabs>
              <w:spacing w:after="0" w:line="240" w:lineRule="auto"/>
              <w:jc w:val="center"/>
            </w:pPr>
          </w:p>
          <w:p w:rsidR="005A04B1" w:rsidRDefault="002D70C6">
            <w:pPr>
              <w:tabs>
                <w:tab w:val="left" w:pos="9765"/>
              </w:tabs>
              <w:spacing w:after="0" w:line="240" w:lineRule="auto"/>
              <w:jc w:val="center"/>
            </w:pPr>
            <w:r>
              <w:t>As avaliações externas exigem alfabetização até o final do segundo ano.</w:t>
            </w:r>
          </w:p>
        </w:tc>
      </w:tr>
    </w:tbl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color w:val="000000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ind w:left="1080"/>
        <w:rPr>
          <w:color w:val="000000"/>
        </w:rPr>
      </w:pPr>
    </w:p>
    <w:tbl>
      <w:tblPr>
        <w:tblStyle w:val="a1"/>
        <w:tblW w:w="1291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457"/>
        <w:gridCol w:w="6457"/>
      </w:tblGrid>
      <w:tr w:rsidR="005A04B1">
        <w:tc>
          <w:tcPr>
            <w:tcW w:w="12914" w:type="dxa"/>
            <w:gridSpan w:val="2"/>
          </w:tcPr>
          <w:p w:rsidR="005A04B1" w:rsidRDefault="002D70C6">
            <w:pPr>
              <w:spacing w:after="0" w:line="360" w:lineRule="auto"/>
              <w:jc w:val="both"/>
            </w:pPr>
            <w:bookmarkStart w:id="0" w:name="_heading=h.rzj5tq2skodr" w:colFirst="0" w:colLast="0"/>
            <w:bookmarkEnd w:id="0"/>
            <w:r>
              <w:rPr>
                <w:b/>
                <w:bCs/>
                <w:u w:val="single"/>
              </w:rPr>
              <w:t>Meta 6: Oferecer, em  regime  de colaboração com o  Estado e a União, educação em tempo integral em, no mínimo, 50% (cinquenta por cento) das escolas públicas, de forma a atender, pelo menos, 25% (vinte e cinco por cento) dos alunos da educação básica.</w:t>
            </w:r>
          </w:p>
        </w:tc>
      </w:tr>
      <w:tr w:rsidR="005A04B1"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Estratégias 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Observações  relevantes sobre o acompanhamento dessa meta.</w:t>
            </w:r>
          </w:p>
        </w:tc>
      </w:tr>
      <w:tr w:rsidR="005A04B1"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spacing w:after="0" w:line="360" w:lineRule="auto"/>
              <w:jc w:val="both"/>
            </w:pPr>
            <w:r>
              <w:t xml:space="preserve">6.1. Ampliar gradualmente, em  regime de colaboração,  a jornada escolar, com o objetivo de implantar a escola de tempo integral que abranja um período de, pelo menos, sete horas diárias, considerando atividades que desenvolvam as múltiplas dimensões humanas e disponibilizando infraestrutura física, humana e de material às respectivas unidades escolares.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6.2. Firmar parceria junto ao Estado e União, para implantação de programa nacional de ampliação e reestruturação das escolas públicas por meio da instalação de quadras poliesportivas, laboratórios, bibliotecas, auditórios, cozinhas, refeitórios, banheiros e outros equipamentos, bem como de produção de material didático e </w:t>
            </w:r>
            <w:r>
              <w:lastRenderedPageBreak/>
              <w:t>de formação de recursos humanos para a educação em tempo integral.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6.3. Fomentar e sustentar a articulação da escola com os diferentes espaços educativos e equipamentos públicos, como centros comunitários, bibliotecas, praças, parques, museus, teatros e cinemas, tendo como garantia recursos públicos para o deslocamento dos estudantes para atividades culturais.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6.4. Garantir ações pedagógicas para a apropriação dos aspectos cognitivos, orientação do estudo, nas leituras e nos processos de aprendizagem, viabilizando atendimento diferenciado a grupos de alunos com habilidades ou dificuldades específicas.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6.5. Garantir, em regime de colaboração, apoio técnico, pedagógico e acompanhamento ao desenvolvimento, no espaço escolar, de trabalhos em equipe e projetos coletivos de professores e alunos, envolvendo grupos de diferentes faixas etárias.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6.6. Ofertar e garantir, em regime de colaboração, a educação em tempo integral para pessoas com deficiência, transtornos globais do desenvolvimento e altas habilidades ou superdotação na faixa </w:t>
            </w:r>
            <w:r>
              <w:lastRenderedPageBreak/>
              <w:t>etária de 04 (quatro) a 17 (dezessete) anos, assegurando Atendimento Educacional Especializado, complementar e suplementar ofertado em salas de recursos multifuncionais da própria escola ou de instituições especializadas.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6.7. Orientar, na forma do art. 13, § 1º, inciso I, da Lei nº 12.101, de 27 de novembro de 2009, a aplicação em gratuidade em atividades de ampliação da jornada escolar de alunos matriculados nas escolas da rede pública municipal de ensino da educação básica, de forma concomitante e em articulação com a rede pública de ensino.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6.8. Adotar medidas para otimizar o tempo de permanência dos alunos na escola, direcionando a expansão da jornada para o efetivo trabalho escolar, combinado com atividades recreativas, esportivas e culturais.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6.9. Garantir, sob responsabilidade da mantenedora, fiscalização de caráter pedagógico e formativo de qualidade, dos convênios firmados com outras instituições.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color w:val="000000"/>
              </w:rPr>
            </w:pPr>
          </w:p>
        </w:tc>
      </w:tr>
    </w:tbl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color w:val="000000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color w:val="000000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b/>
          <w:bCs/>
          <w:color w:val="000000"/>
          <w:u w:val="single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b/>
          <w:bCs/>
          <w:color w:val="000000"/>
          <w:u w:val="single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b/>
          <w:bCs/>
          <w:color w:val="000000"/>
          <w:u w:val="single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b/>
          <w:bCs/>
          <w:color w:val="000000"/>
          <w:u w:val="single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b/>
          <w:bCs/>
          <w:color w:val="000000"/>
          <w:u w:val="single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b/>
          <w:bCs/>
          <w:color w:val="000000"/>
          <w:u w:val="single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b/>
          <w:bCs/>
          <w:color w:val="000000"/>
          <w:u w:val="single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spacing w:after="0"/>
        <w:ind w:left="1080"/>
        <w:rPr>
          <w:b/>
          <w:bCs/>
          <w:color w:val="000000"/>
          <w:u w:val="single"/>
        </w:rPr>
      </w:pPr>
    </w:p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ind w:left="1080"/>
        <w:rPr>
          <w:b/>
          <w:bCs/>
          <w:color w:val="000000"/>
          <w:u w:val="single"/>
        </w:rPr>
      </w:pPr>
    </w:p>
    <w:tbl>
      <w:tblPr>
        <w:tblStyle w:val="a2"/>
        <w:tblW w:w="1291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200"/>
        <w:gridCol w:w="1020"/>
        <w:gridCol w:w="1080"/>
        <w:gridCol w:w="1120"/>
        <w:gridCol w:w="1037"/>
        <w:gridCol w:w="6457"/>
      </w:tblGrid>
      <w:tr w:rsidR="005A04B1">
        <w:tc>
          <w:tcPr>
            <w:tcW w:w="12914" w:type="dxa"/>
            <w:gridSpan w:val="6"/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ind w:right="113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Meta 7</w:t>
            </w:r>
            <w:r>
              <w:rPr>
                <w:b/>
                <w:bCs/>
                <w:color w:val="000000"/>
                <w:u w:val="single"/>
              </w:rPr>
              <w:t>: Contribuir para  a  qualificação da Educação Básica em todas as etapas e modalidades, com melhoria do fluxo escolar e da aprendizagem de modo a atingir as seguintes médias nacionais para o IDEB:</w:t>
            </w:r>
          </w:p>
        </w:tc>
      </w:tr>
      <w:tr w:rsidR="005A04B1">
        <w:tc>
          <w:tcPr>
            <w:tcW w:w="64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Estratégias 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Observações  relevantes sobre o acompanhamento dessa meta.</w:t>
            </w:r>
          </w:p>
        </w:tc>
      </w:tr>
      <w:tr w:rsidR="005A04B1"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both"/>
            </w:pPr>
            <w:r>
              <w:rPr>
                <w:b/>
                <w:bCs/>
              </w:rPr>
              <w:t xml:space="preserve">  IDEB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2015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2017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2019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2021</w:t>
            </w:r>
          </w:p>
        </w:tc>
        <w:tc>
          <w:tcPr>
            <w:tcW w:w="6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</w:pPr>
            <w:r>
              <w:t>Realizar uma sondagem unificada em todas  as turmas no início do ano letivo, fazendo levantamento dos avanços e das dificuldades apresentadas.</w:t>
            </w: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</w:pP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</w:pPr>
            <w:r>
              <w:t xml:space="preserve">Responsabilizar famílias que não levam os filhos nos atendimentos indicados pela escola: fonoaudiológico, psicológico, apoio pedagógico entre outros. </w:t>
            </w: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</w:pPr>
            <w:r>
              <w:t xml:space="preserve"> Permanência do guarda escolar e que esse tenha o treinamento necessário para a função.</w:t>
            </w:r>
          </w:p>
          <w:p w:rsidR="005A04B1" w:rsidRDefault="005A0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</w:pPr>
          </w:p>
          <w:p w:rsidR="005A04B1" w:rsidRDefault="002D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65"/>
              </w:tabs>
              <w:spacing w:after="0" w:line="240" w:lineRule="auto"/>
            </w:pPr>
            <w:r>
              <w:t>Semana de convivência.</w:t>
            </w:r>
          </w:p>
        </w:tc>
      </w:tr>
      <w:tr w:rsidR="005A04B1">
        <w:tc>
          <w:tcPr>
            <w:tcW w:w="220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both"/>
            </w:pPr>
            <w:r>
              <w:rPr>
                <w:b/>
                <w:bCs/>
              </w:rPr>
              <w:t xml:space="preserve">  Anos iniciais do EF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5,2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5,5</w:t>
            </w:r>
          </w:p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5,7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6,0</w:t>
            </w:r>
          </w:p>
        </w:tc>
        <w:tc>
          <w:tcPr>
            <w:tcW w:w="6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5A0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5A04B1">
        <w:tc>
          <w:tcPr>
            <w:tcW w:w="220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both"/>
            </w:pPr>
            <w:r>
              <w:rPr>
                <w:b/>
                <w:bCs/>
              </w:rPr>
              <w:t xml:space="preserve">  Anos finais do EF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4,7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5,0</w:t>
            </w:r>
          </w:p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5,2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5,5</w:t>
            </w:r>
          </w:p>
        </w:tc>
        <w:tc>
          <w:tcPr>
            <w:tcW w:w="6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5A0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5A04B1">
        <w:tc>
          <w:tcPr>
            <w:tcW w:w="220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both"/>
            </w:pPr>
            <w:r>
              <w:rPr>
                <w:b/>
                <w:bCs/>
              </w:rPr>
              <w:t xml:space="preserve">  Ensino Médio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4,3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4,7</w:t>
            </w:r>
          </w:p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5,0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spacing w:after="0" w:line="360" w:lineRule="auto"/>
              <w:ind w:left="-99"/>
              <w:jc w:val="center"/>
            </w:pPr>
            <w:r>
              <w:rPr>
                <w:b/>
                <w:bCs/>
              </w:rPr>
              <w:t>5,2</w:t>
            </w:r>
          </w:p>
        </w:tc>
        <w:tc>
          <w:tcPr>
            <w:tcW w:w="6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5A0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5A04B1">
        <w:tc>
          <w:tcPr>
            <w:tcW w:w="645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7.1. Readequar o Plano de Ações Articuladas (PAR) dando cumprimento às metas de qualidade estabelecidas para a educação básica pública e, solicitando à União apoio técnico e financeiro voltados à melhoria da gestão educacional, formação continuada dos </w:t>
            </w:r>
            <w:r>
              <w:lastRenderedPageBreak/>
              <w:t xml:space="preserve">profissionais de educação, bem como à melhoria e expansão da infraestrutura física da rede escolar.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7.2. Atualizar e monitorar o Plano de Ações Articuladas (PAR) garantindo recursos orçamentários, a fim de dar conta das ações propostas.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7.3. Garantir, no âmbito das respectivas redes de ensino,  quadro de pessoal completo nas  escolas, de preferência efetivos, no início de cada ano letivo.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7.4. Implementar, no âmbito das respectivas redes de ensino, rede de atendimento multidisciplinar nas escolas.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highlight w:val="green"/>
              </w:rPr>
            </w:pPr>
            <w:r>
              <w:t xml:space="preserve">7.5. Identificar as dificuldades para a efetivação do processo de ensino e aprendizagem, </w:t>
            </w:r>
            <w:r>
              <w:rPr>
                <w:highlight w:val="green"/>
              </w:rPr>
              <w:t xml:space="preserve">tendo em vista o planejamento de intervenções pedagógicas adequadas à realidade, com o estabelecimento de metas e avaliação diagnóstica e prognóstica de forma sistemática.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7.6. Acompanhar e divulgar, bienalmente, os resultados do IDEB das escolas das redes públicas de educação básica e dos sistemas </w:t>
            </w:r>
            <w:r>
              <w:lastRenderedPageBreak/>
              <w:t xml:space="preserve">de ensino, bem como assegurar políticas públicas que deem conta das defasagens de aprendizagem nas escolas que não atingirem a meta.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7.7. Aplicar, no âmbito das respectivas redes de ensino,  os instrumentos de avaliação da qualidade do ensino fundamental e médio, utilizando esses resultados para gerar intervenções que impulsionam a revisão e melhoria dos processos e práticas  pedagógicas desenvolvidas  pelas escolas.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7.8. Garantir transporte para os estudantes da educação do campo, na faixa etária da educação escolar obrigatória, considerando a acessibilidade, distância e cumprimento das especificações do Instituto Nacional de Metrologia, Normalização e Qualidade Industrial – INMETRO.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7.9. Selecionar e divulgar tecnologias educacionais para o ensino fundamental e médio, assegurando a diversidade de métodos e propostas pedagógicas, bem como o acompanhamento dos resultados nos sistemas de ensino em que forem aplicadas.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 7.10. Qualificar o sistema  informatizado da gestão das escolas e da Secretaria de Educação, criando um sistema de gerenciamento de </w:t>
            </w:r>
            <w:r>
              <w:lastRenderedPageBreak/>
              <w:t>dados e informações da situação educacional dos estudantes, interligados entre as escolas.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 7.11. Proporcionar, no âmbito das  respectivas redes de ensino,  qualificação aos professores da Educação Básica para a utilização dos recursos tecnológicos disponíveis.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7.12. Utilizar tecnologias educacionais e de inovação das práticas pedagógicas nos sistemas de ensino, que assegurem a melhoria do fluxo escolar e a aprendizagem dos estudantes.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7.13. Apoiar técnica e financeiramente a gestão escolar, no âmbito das  respectivas  redes de ensino,  mediante transferência direta de recursos financeiros à escola, com vistas à ampliação da participação da comunidade escolar no planejamento e na aplicação dos recursos, bem como no desenvolvimento da gestão democrática efetiva.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7.14. Ampliar programas e aprofundar ações de atendimento ao estudante, no âmbito das  respectivas redes de ensino,  em todas as etapas da educação básica, por meio de programas suplementares </w:t>
            </w:r>
            <w:r>
              <w:lastRenderedPageBreak/>
              <w:t>de material didático-escolar, transporte, alimentação e assistência à saúde.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7.15. Prover, manter e garantir, em regime de colaboração, a manutenção de equipamentos e recursos digitais para a utilização pedagógica no ambiente escolar a todas as escolas de ensino fundamental e médio, criando mecanismos e implementação das condições necessárias das bibliotecas nas instituições  educacionais, com acesso  a redes  digitais  de computadores, inclusive a internet.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7.16. Observar  diretrizes pedagógicas para a educação básica e parâmetros curriculares nacionais comuns, readequando os Planos de Estudos, de modo a respeitar  a diversidade local, acompanhando e assessorando sua aplicação.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highlight w:val="green"/>
              </w:rPr>
            </w:pPr>
            <w:r>
              <w:t xml:space="preserve">7.17. </w:t>
            </w:r>
            <w:r>
              <w:rPr>
                <w:highlight w:val="green"/>
              </w:rPr>
              <w:t>Garantir políticas de combate à violência na escola, por meio de projetos centrados na vida, na solidariedade e em uma cultura de paz, a fim de buscar um ambiente escolar dotado de segurança.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7.18. Implementar políticas de adequação e segurança para inclusão de jovens e adolescentes em regime de liberdade assistida e em situação de rua, havendo corresponsabilização do poder público, </w:t>
            </w:r>
            <w:r>
              <w:lastRenderedPageBreak/>
              <w:t xml:space="preserve">incluindo equipe de profissionais de apoio para sua reinserção na sociedade, assegurando-se os princípios do Estatuto da Criança e do Adolescente de que trata a Lei no 8.069, de 13 de julho de 1990.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7.19. Fortalecer as comissões multidisciplinares, contendo membros dos diversos órgãos e secretarias, para garantir a qualidade do atendimento e de  permanência do jovem na escola (RAE).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>7.20. Fortalecer o monitoramento permanente do Plano Municipal de Educação e dos orçamentos envolvidos, bem como dos planejamentos de gestão de cada escola.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highlight w:val="green"/>
              </w:rPr>
            </w:pPr>
            <w:r>
              <w:t xml:space="preserve">7.21. </w:t>
            </w:r>
            <w:r>
              <w:rPr>
                <w:highlight w:val="green"/>
              </w:rPr>
              <w:t xml:space="preserve">Criar novas estratégias e estímulos para mobilizar as famílias para participarem da vida escolar dos filhos, com o propósito de que a educação seja assumida como responsabilidade de todos. </w:t>
            </w:r>
          </w:p>
          <w:p w:rsidR="005A04B1" w:rsidRDefault="002D70C6">
            <w:pPr>
              <w:numPr>
                <w:ilvl w:val="1"/>
                <w:numId w:val="1"/>
              </w:numPr>
              <w:tabs>
                <w:tab w:val="left" w:pos="1080"/>
              </w:tabs>
              <w:spacing w:after="0" w:line="360" w:lineRule="auto"/>
              <w:ind w:left="0" w:firstLine="708"/>
              <w:jc w:val="both"/>
            </w:pPr>
            <w:r>
              <w:t>Ampliar o serviço de Assistência Social nas comunidades escolares.</w:t>
            </w:r>
          </w:p>
          <w:p w:rsidR="005A04B1" w:rsidRDefault="002D70C6">
            <w:pPr>
              <w:numPr>
                <w:ilvl w:val="1"/>
                <w:numId w:val="1"/>
              </w:numPr>
              <w:tabs>
                <w:tab w:val="left" w:pos="1080"/>
              </w:tabs>
              <w:spacing w:after="0" w:line="360" w:lineRule="auto"/>
              <w:ind w:left="0" w:firstLine="708"/>
              <w:jc w:val="both"/>
            </w:pPr>
            <w:r>
              <w:t xml:space="preserve">Garantir que os atendimentos com psicólogos, fonoaudiólogos, psicopedagogos sejam feitos em horário contrário ao da escola, não prejudicando o andamento das aulas e aprendizagem dos estudantes. 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lastRenderedPageBreak/>
              <w:t>7.24. Universalizar, mediante articulação entre os órgãos responsáveis pelas áreas da saúde e da educação, o atendimento aos estudantes da rede pública de educação básica, por meio de ações de prevenção, promoção e atenção à saúde física e mental.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  <w:rPr>
                <w:highlight w:val="green"/>
              </w:rPr>
            </w:pPr>
            <w:r>
              <w:t xml:space="preserve">7.25. </w:t>
            </w:r>
            <w:r>
              <w:rPr>
                <w:highlight w:val="green"/>
              </w:rPr>
              <w:t>Garantir programas permanentes de prevenção, atenção e atendimento à saúde e à integridade física, mental e moral dos profissionais de educação, como condição para a melhoria da qualidade de ensino.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 7.26. Participar de programas de formação de professores e alunos que objetivem promover  e consolidar a política de preservação da memória nacional.</w:t>
            </w:r>
          </w:p>
          <w:p w:rsidR="005A04B1" w:rsidRDefault="002D70C6">
            <w:pPr>
              <w:spacing w:after="0" w:line="360" w:lineRule="auto"/>
              <w:ind w:firstLine="708"/>
              <w:jc w:val="both"/>
            </w:pPr>
            <w:r>
              <w:t xml:space="preserve">7.27. Contribuir para que os  currículos  escolares assegurem conteúdos de história e das culturas afro-brasileira e indígenas. </w:t>
            </w:r>
          </w:p>
          <w:p w:rsidR="005A04B1" w:rsidRDefault="002D70C6">
            <w:pPr>
              <w:spacing w:after="0" w:line="360" w:lineRule="auto"/>
              <w:jc w:val="both"/>
            </w:pPr>
            <w:r>
              <w:tab/>
              <w:t>7.28. Promover, em consonância com as  diretrizes do Plano Nacional do Livro e  da  Leitura,  a formação de leitores e a  capacitação de professores, bibliotecários e  agentes  da comunidade para  atuar como mediadores de leitura.</w:t>
            </w:r>
          </w:p>
          <w:p w:rsidR="005A04B1" w:rsidRDefault="002D70C6">
            <w:pPr>
              <w:spacing w:after="0" w:line="360" w:lineRule="auto"/>
              <w:jc w:val="both"/>
            </w:pPr>
            <w:r>
              <w:lastRenderedPageBreak/>
              <w:tab/>
              <w:t>7.29. Buscar apoio  técnico e financeiro da União,  para  a  consolidação dos  aspectos  previstos nos parâmetros mínimos  de qualidade dos serviços da educação básica, a serem utilizados como referência para a  infraestrutura das escolas, recursos pedagógicos, bem como instrumentos para a adoção de medidas para a melhoria da qualidade de ensino.</w:t>
            </w:r>
          </w:p>
          <w:p w:rsidR="005A04B1" w:rsidRDefault="002D70C6">
            <w:pPr>
              <w:spacing w:after="0" w:line="360" w:lineRule="auto"/>
              <w:jc w:val="both"/>
            </w:pPr>
            <w:r>
              <w:tab/>
              <w:t>7.30. Participar, em  regime de colaboração, do Programa Nacional de reestruturação e aquisição de equipamentos para escolas públicas, visando à equalização regional das oportunidades educacionais.</w:t>
            </w:r>
          </w:p>
          <w:p w:rsidR="005A04B1" w:rsidRDefault="002D70C6">
            <w:pPr>
              <w:spacing w:after="0" w:line="360" w:lineRule="auto"/>
              <w:jc w:val="both"/>
            </w:pPr>
            <w:r>
              <w:tab/>
              <w:t>7.31. Fomentar o acesso à rede mundial de computadores em banda larga de alta  velocidade e  aumentar  a relação computador\aluno nas  escolas da rede pública da Educação Básica, promovendo a utilização pedagógica das tecnologias da informação e da comunicação.</w:t>
            </w:r>
          </w:p>
        </w:tc>
        <w:tc>
          <w:tcPr>
            <w:tcW w:w="6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B1" w:rsidRDefault="005A0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</w:tbl>
    <w:p w:rsidR="005A04B1" w:rsidRDefault="005A04B1">
      <w:pPr>
        <w:pBdr>
          <w:top w:val="nil"/>
          <w:left w:val="nil"/>
          <w:bottom w:val="nil"/>
          <w:right w:val="nil"/>
          <w:between w:val="nil"/>
        </w:pBdr>
        <w:tabs>
          <w:tab w:val="left" w:pos="9765"/>
        </w:tabs>
        <w:ind w:left="1080"/>
        <w:rPr>
          <w:color w:val="000000"/>
        </w:rPr>
      </w:pPr>
    </w:p>
    <w:sectPr w:rsidR="005A04B1">
      <w:headerReference w:type="default" r:id="rId8"/>
      <w:headerReference w:type="first" r:id="rId9"/>
      <w:pgSz w:w="16838" w:h="11906" w:orient="landscape"/>
      <w:pgMar w:top="1701" w:right="1417" w:bottom="1701" w:left="1417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20245" w:rsidRDefault="00C20245">
      <w:pPr>
        <w:spacing w:after="0" w:line="240" w:lineRule="auto"/>
      </w:pPr>
      <w:r>
        <w:separator/>
      </w:r>
    </w:p>
  </w:endnote>
  <w:endnote w:type="continuationSeparator" w:id="0">
    <w:p w:rsidR="00C20245" w:rsidRDefault="00C20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760042-7E43-4B3F-9ADA-FD579333F2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0239E6-5D3F-4EF8-97EE-AEB9E99C58DA}"/>
    <w:embedBold r:id="rId3" w:fontKey="{86BA2127-8F18-4FA1-9622-9EDEF0FA5707}"/>
    <w:embedItalic r:id="rId4" w:fontKey="{07E0CFC6-BC91-4BFB-B0A9-4BDEA41F102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D43320B-B80A-4DC4-86DC-D16124C88514}"/>
    <w:embedItalic r:id="rId6" w:fontKey="{82939BF3-4A37-4FC9-8720-92F8FD554A23}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198EA26-1B52-43B7-BE7A-4D0C3DF4F5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1F454C6-5D2A-4BE5-AAAD-6FC966834D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20245" w:rsidRDefault="00C20245">
      <w:pPr>
        <w:spacing w:after="0" w:line="240" w:lineRule="auto"/>
      </w:pPr>
      <w:r>
        <w:separator/>
      </w:r>
    </w:p>
  </w:footnote>
  <w:footnote w:type="continuationSeparator" w:id="0">
    <w:p w:rsidR="00C20245" w:rsidRDefault="00C20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04B1" w:rsidRDefault="005A04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5A04B1" w:rsidRDefault="002D70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</w:t>
    </w:r>
    <w:r>
      <w:rPr>
        <w:noProof/>
        <w:color w:val="000000"/>
      </w:rPr>
      <w:drawing>
        <wp:inline distT="0" distB="0" distL="114300" distR="114300">
          <wp:extent cx="2392045" cy="943610"/>
          <wp:effectExtent l="0" t="0" r="0" b="0"/>
          <wp:docPr id="10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2045" cy="943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</w:t>
    </w:r>
    <w:r>
      <w:rPr>
        <w:noProof/>
        <w:color w:val="000000"/>
      </w:rPr>
      <w:drawing>
        <wp:inline distT="0" distB="0" distL="114300" distR="114300">
          <wp:extent cx="772160" cy="910590"/>
          <wp:effectExtent l="0" t="0" r="0" b="0"/>
          <wp:docPr id="10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160" cy="910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04B1" w:rsidRDefault="005A04B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E5467"/>
    <w:multiLevelType w:val="multilevel"/>
    <w:tmpl w:val="90347F56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num w:numId="1" w16cid:durableId="1855219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4B1"/>
    <w:rsid w:val="00053FAB"/>
    <w:rsid w:val="002D70C6"/>
    <w:rsid w:val="005475ED"/>
    <w:rsid w:val="005A04B1"/>
    <w:rsid w:val="00894AE3"/>
    <w:rsid w:val="00980280"/>
    <w:rsid w:val="00A749BC"/>
    <w:rsid w:val="00C111C2"/>
    <w:rsid w:val="00C20245"/>
    <w:rsid w:val="00DC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DDA6C"/>
  <w15:docId w15:val="{2DAB333A-5C65-4E7F-943F-79BDC26F4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597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597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597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597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597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pPr>
      <w:keepNext/>
      <w:keepLines/>
      <w:spacing w:before="40" w:after="0"/>
      <w:ind w:leftChars="-1" w:left="-1" w:hangingChars="1" w:hanging="1"/>
      <w:textDirection w:val="btLr"/>
      <w:textAlignment w:val="top"/>
      <w:outlineLvl w:val="6"/>
    </w:pPr>
    <w:rPr>
      <w:rFonts w:eastAsia="DengXian Light" w:cs="Tahoma"/>
      <w:color w:val="595959"/>
      <w:kern w:val="2"/>
      <w:position w:val="-1"/>
      <w:lang w:eastAsia="en-US"/>
    </w:rPr>
  </w:style>
  <w:style w:type="paragraph" w:styleId="Ttulo8">
    <w:name w:val="heading 8"/>
    <w:basedOn w:val="Normal"/>
    <w:next w:val="Normal"/>
    <w:pPr>
      <w:keepNext/>
      <w:keepLines/>
      <w:spacing w:after="0"/>
      <w:ind w:leftChars="-1" w:left="-1" w:hangingChars="1" w:hanging="1"/>
      <w:textDirection w:val="btLr"/>
      <w:textAlignment w:val="top"/>
      <w:outlineLvl w:val="7"/>
    </w:pPr>
    <w:rPr>
      <w:rFonts w:eastAsia="DengXian Light" w:cs="Tahoma"/>
      <w:i/>
      <w:iCs/>
      <w:color w:val="262626"/>
      <w:kern w:val="2"/>
      <w:position w:val="-1"/>
      <w:lang w:eastAsia="en-US"/>
    </w:rPr>
  </w:style>
  <w:style w:type="paragraph" w:styleId="Ttulo9">
    <w:name w:val="heading 9"/>
    <w:basedOn w:val="Normal"/>
    <w:next w:val="Normal"/>
    <w:pPr>
      <w:keepNext/>
      <w:keepLines/>
      <w:spacing w:after="0"/>
      <w:ind w:leftChars="-1" w:left="-1" w:hangingChars="1" w:hanging="1"/>
      <w:textDirection w:val="btLr"/>
      <w:textAlignment w:val="top"/>
      <w:outlineLvl w:val="8"/>
    </w:pPr>
    <w:rPr>
      <w:rFonts w:eastAsia="DengXian Light" w:cs="Tahoma"/>
      <w:color w:val="262626"/>
      <w:kern w:val="2"/>
      <w:position w:val="-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Arial"/>
      <w:kern w:val="2"/>
      <w:position w:val="-1"/>
      <w:sz w:val="28"/>
      <w:szCs w:val="28"/>
      <w:lang w:eastAsia="en-US"/>
    </w:rPr>
  </w:style>
  <w:style w:type="character" w:customStyle="1" w:styleId="Ttulo1Char">
    <w:name w:val="Título 1 Char"/>
    <w:basedOn w:val="Fontepargpadro"/>
    <w:rPr>
      <w:rFonts w:ascii="Calibri Light" w:eastAsia="DengXian Light" w:hAnsi="Calibri Light" w:cs="Tahoma"/>
      <w:color w:val="2F5597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tulo2Char">
    <w:name w:val="Título 2 Char"/>
    <w:basedOn w:val="Fontepargpadro"/>
    <w:rPr>
      <w:rFonts w:ascii="Calibri Light" w:eastAsia="DengXian Light" w:hAnsi="Calibri Light" w:cs="Tahoma"/>
      <w:color w:val="2F5597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3Char">
    <w:name w:val="Título 3 Char"/>
    <w:basedOn w:val="Fontepargpadro"/>
    <w:rPr>
      <w:color w:val="2F5597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4Char">
    <w:name w:val="Título 4 Char"/>
    <w:basedOn w:val="Fontepargpadro"/>
    <w:rPr>
      <w:i/>
      <w:iCs/>
      <w:color w:val="2F5597"/>
      <w:w w:val="100"/>
      <w:position w:val="-1"/>
      <w:effect w:val="none"/>
      <w:vertAlign w:val="baseline"/>
      <w:cs w:val="0"/>
      <w:em w:val="none"/>
    </w:rPr>
  </w:style>
  <w:style w:type="character" w:customStyle="1" w:styleId="Ttulo5Char">
    <w:name w:val="Título 5 Char"/>
    <w:basedOn w:val="Fontepargpadro"/>
    <w:rPr>
      <w:color w:val="2F5597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basedOn w:val="Fontepargpadro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basedOn w:val="Fontepargpadro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basedOn w:val="Fontepargpadro"/>
    <w:rPr>
      <w:i/>
      <w:iCs/>
      <w:color w:val="262626"/>
      <w:w w:val="100"/>
      <w:position w:val="-1"/>
      <w:effect w:val="none"/>
      <w:vertAlign w:val="baseline"/>
      <w:cs w:val="0"/>
      <w:em w:val="none"/>
    </w:rPr>
  </w:style>
  <w:style w:type="character" w:customStyle="1" w:styleId="Ttulo9Char">
    <w:name w:val="Título 9 Char"/>
    <w:basedOn w:val="Fontepargpadro"/>
    <w:rPr>
      <w:color w:val="262626"/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basedOn w:val="Fontepargpadro"/>
    <w:rPr>
      <w:rFonts w:ascii="Calibri Light" w:eastAsia="DengXian Light" w:hAnsi="Calibri Light" w:cs="Tahoma"/>
      <w:spacing w:val="-10"/>
      <w:w w:val="100"/>
      <w:kern w:val="2"/>
      <w:position w:val="-1"/>
      <w:sz w:val="56"/>
      <w:szCs w:val="56"/>
      <w:effect w:val="none"/>
      <w:vertAlign w:val="baseline"/>
      <w:cs w:val="0"/>
      <w:em w:val="none"/>
    </w:rPr>
  </w:style>
  <w:style w:type="character" w:customStyle="1" w:styleId="SubttuloChar">
    <w:name w:val="Subtítulo Char"/>
    <w:basedOn w:val="Fontepargpadro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CitaoChar">
    <w:name w:val="Citação Char"/>
    <w:basedOn w:val="Fontepargpadro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basedOn w:val="Fontepargpadro"/>
    <w:rPr>
      <w:i/>
      <w:iCs/>
      <w:color w:val="2F5597"/>
      <w:w w:val="100"/>
      <w:position w:val="-1"/>
      <w:effect w:val="none"/>
      <w:vertAlign w:val="baseline"/>
      <w:cs w:val="0"/>
      <w:em w:val="none"/>
    </w:rPr>
  </w:style>
  <w:style w:type="character" w:customStyle="1" w:styleId="CitaoIntensaChar">
    <w:name w:val="Citação Intensa Char"/>
    <w:basedOn w:val="Fontepargpadro"/>
    <w:rPr>
      <w:i/>
      <w:iCs/>
      <w:color w:val="2F5597"/>
      <w:w w:val="100"/>
      <w:position w:val="-1"/>
      <w:effect w:val="none"/>
      <w:vertAlign w:val="baseline"/>
      <w:cs w:val="0"/>
      <w:em w:val="none"/>
    </w:rPr>
  </w:style>
  <w:style w:type="character" w:styleId="RefernciaIntensa">
    <w:name w:val="Intense Reference"/>
    <w:basedOn w:val="Fontepargpadro"/>
    <w:rPr>
      <w:b/>
      <w:bCs/>
      <w:smallCaps/>
      <w:color w:val="2F5597"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65">
    <w:name w:val="ListLabel 165"/>
    <w:rPr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spacing w:after="140" w:line="276" w:lineRule="auto"/>
      <w:ind w:leftChars="-1" w:left="-1" w:hangingChars="1" w:hanging="1"/>
      <w:textDirection w:val="btLr"/>
      <w:textAlignment w:val="top"/>
      <w:outlineLvl w:val="0"/>
    </w:pPr>
    <w:rPr>
      <w:rFonts w:cs="Tahoma"/>
      <w:kern w:val="2"/>
      <w:position w:val="-1"/>
      <w:lang w:eastAsia="en-US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pPr>
      <w:suppressLineNumbers/>
      <w:spacing w:before="120" w:after="120"/>
      <w:ind w:leftChars="-1" w:left="-1" w:hangingChars="1" w:hanging="1"/>
      <w:textDirection w:val="btLr"/>
      <w:textAlignment w:val="top"/>
      <w:outlineLvl w:val="0"/>
    </w:pPr>
    <w:rPr>
      <w:rFonts w:cs="Arial"/>
      <w:i/>
      <w:iCs/>
      <w:kern w:val="2"/>
      <w:position w:val="-1"/>
      <w:sz w:val="24"/>
      <w:szCs w:val="24"/>
      <w:lang w:eastAsia="en-US"/>
    </w:rPr>
  </w:style>
  <w:style w:type="paragraph" w:customStyle="1" w:styleId="ndice">
    <w:name w:val="Índice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cs="Arial"/>
      <w:kern w:val="2"/>
      <w:position w:val="-1"/>
      <w:lang w:eastAsia="en-US"/>
    </w:rPr>
  </w:style>
  <w:style w:type="paragraph" w:customStyle="1" w:styleId="CabealhoeRodap">
    <w:name w:val="Cabeçalho e Rodapé"/>
    <w:basedOn w:val="Normal"/>
    <w:pPr>
      <w:ind w:leftChars="-1" w:left="-1" w:hangingChars="1" w:hanging="1"/>
      <w:textDirection w:val="btLr"/>
      <w:textAlignment w:val="top"/>
      <w:outlineLvl w:val="0"/>
    </w:pPr>
    <w:rPr>
      <w:rFonts w:cs="Tahoma"/>
      <w:kern w:val="2"/>
      <w:position w:val="-1"/>
      <w:lang w:eastAsia="en-US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ahoma"/>
      <w:kern w:val="2"/>
      <w:position w:val="-1"/>
      <w:lang w:eastAsia="en-US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ahoma"/>
      <w:kern w:val="2"/>
      <w:position w:val="-1"/>
      <w:lang w:eastAsia="en-US"/>
    </w:rPr>
  </w:style>
  <w:style w:type="paragraph" w:styleId="Citao">
    <w:name w:val="Quote"/>
    <w:basedOn w:val="Normal"/>
    <w:next w:val="Normal"/>
    <w:pPr>
      <w:spacing w:before="160"/>
      <w:ind w:leftChars="-1" w:left="-1" w:hangingChars="1" w:hanging="1"/>
      <w:jc w:val="center"/>
      <w:textDirection w:val="btLr"/>
      <w:textAlignment w:val="top"/>
      <w:outlineLvl w:val="0"/>
    </w:pPr>
    <w:rPr>
      <w:rFonts w:cs="Tahoma"/>
      <w:i/>
      <w:iCs/>
      <w:color w:val="404040"/>
      <w:kern w:val="2"/>
      <w:position w:val="-1"/>
      <w:lang w:eastAsia="en-US"/>
    </w:rPr>
  </w:style>
  <w:style w:type="paragraph" w:styleId="PargrafodaLista">
    <w:name w:val="List Paragraph"/>
    <w:basedOn w:val="Normal"/>
    <w:pPr>
      <w:ind w:leftChars="-1" w:left="720" w:hangingChars="1" w:hanging="1"/>
      <w:contextualSpacing/>
      <w:textDirection w:val="btLr"/>
      <w:textAlignment w:val="top"/>
      <w:outlineLvl w:val="0"/>
    </w:pPr>
    <w:rPr>
      <w:rFonts w:cs="Tahoma"/>
      <w:kern w:val="2"/>
      <w:position w:val="-1"/>
      <w:lang w:eastAsia="en-US"/>
    </w:rPr>
  </w:style>
  <w:style w:type="paragraph" w:styleId="CitaoIntensa">
    <w:name w:val="Intense Quote"/>
    <w:basedOn w:val="Normal"/>
    <w:next w:val="Normal"/>
    <w:pPr>
      <w:pBdr>
        <w:top w:val="single" w:sz="4" w:space="10" w:color="2F5496"/>
        <w:left w:val="none" w:sz="0" w:space="0" w:color="000000"/>
        <w:bottom w:val="single" w:sz="4" w:space="10" w:color="2F5496"/>
        <w:right w:val="none" w:sz="0" w:space="0" w:color="000000"/>
      </w:pBdr>
      <w:spacing w:before="360" w:after="360"/>
      <w:ind w:leftChars="-1" w:left="864" w:right="864" w:hangingChars="1" w:hanging="1"/>
      <w:jc w:val="center"/>
      <w:textDirection w:val="btLr"/>
      <w:textAlignment w:val="top"/>
      <w:outlineLvl w:val="0"/>
    </w:pPr>
    <w:rPr>
      <w:rFonts w:cs="Tahoma"/>
      <w:i/>
      <w:iCs/>
      <w:color w:val="2F5597"/>
      <w:kern w:val="2"/>
      <w:position w:val="-1"/>
      <w:lang w:eastAsia="en-US"/>
    </w:rPr>
  </w:style>
  <w:style w:type="paragraph" w:customStyle="1" w:styleId="Contedodoquadro">
    <w:name w:val="Conteúdo do quadro"/>
    <w:basedOn w:val="Normal"/>
    <w:pPr>
      <w:ind w:leftChars="-1" w:left="-1" w:hangingChars="1" w:hanging="1"/>
      <w:textDirection w:val="btLr"/>
      <w:textAlignment w:val="top"/>
      <w:outlineLvl w:val="0"/>
    </w:pPr>
    <w:rPr>
      <w:rFonts w:cs="Tahoma"/>
      <w:kern w:val="2"/>
      <w:position w:val="-1"/>
      <w:lang w:eastAsia="en-US"/>
    </w:rPr>
  </w:style>
  <w:style w:type="paragraph" w:customStyle="1" w:styleId="Contedodatabela">
    <w:name w:val="Conteúdo da tabela"/>
    <w:basedOn w:val="Normal"/>
    <w:pPr>
      <w:widowControl w:val="0"/>
      <w:suppressLineNumbers/>
      <w:ind w:leftChars="-1" w:left="-1" w:hangingChars="1" w:hanging="1"/>
      <w:textDirection w:val="btLr"/>
      <w:textAlignment w:val="top"/>
      <w:outlineLvl w:val="0"/>
    </w:pPr>
    <w:rPr>
      <w:rFonts w:cs="Tahoma"/>
      <w:kern w:val="2"/>
      <w:position w:val="-1"/>
      <w:lang w:eastAsia="en-US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y4X54ZJSuQJrP1RQaARj8DXkmQ==">CgMxLjAyDmgucnpqNXRxMnNrb2RyOAByITFlOTBHWWd2bDRWVzlkUXRfeG1kU0pGRjZ1RHMwSVVEdA==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2953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2025-12-09T19:31:00Z</dcterms:created>
  <dcterms:modified xsi:type="dcterms:W3CDTF">2025-12-11T18:35:00Z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DCEFB94309B54A5588BF164245BFD1E8_12</vt:lpwstr>
  </property>
  <property fmtid="{D5CDD505-2E9C-101B-9397-08002B2CF9AE}" pid="3" name="KSOProductBuildVer">
    <vt:lpwstr>1046-12.2.0.23155</vt:lpwstr>
  </property>
</Properties>
</file>